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9ED" w:rsidRDefault="009779ED" w:rsidP="009779ED">
      <w:pPr>
        <w:spacing w:after="0"/>
      </w:pPr>
      <w:r>
        <w:t>REPUBLIKA HRVATSKA</w:t>
      </w:r>
    </w:p>
    <w:p w:rsidR="009779ED" w:rsidRDefault="009779ED" w:rsidP="009779ED">
      <w:pPr>
        <w:spacing w:after="0"/>
      </w:pPr>
      <w:r>
        <w:t>Osnovna škola Zadarski otoci Zadar</w:t>
      </w:r>
    </w:p>
    <w:p w:rsidR="009779ED" w:rsidRDefault="009779ED" w:rsidP="009779ED">
      <w:pPr>
        <w:spacing w:after="0"/>
      </w:pPr>
      <w:r>
        <w:t>Trg Damira Tomljanovića Gavrana 2</w:t>
      </w:r>
    </w:p>
    <w:p w:rsidR="009779ED" w:rsidRDefault="009779ED" w:rsidP="009779ED">
      <w:pPr>
        <w:spacing w:after="0"/>
      </w:pPr>
      <w:r>
        <w:t>23000 Zadar</w:t>
      </w:r>
    </w:p>
    <w:p w:rsidR="009779ED" w:rsidRDefault="009779ED" w:rsidP="009779ED">
      <w:pPr>
        <w:spacing w:after="0"/>
      </w:pPr>
    </w:p>
    <w:p w:rsidR="009779ED" w:rsidRDefault="009779ED" w:rsidP="009779ED">
      <w:pPr>
        <w:spacing w:after="0"/>
      </w:pPr>
      <w:r>
        <w:t>Klasa:</w:t>
      </w:r>
      <w:r w:rsidR="0095357F">
        <w:t xml:space="preserve"> 401-01/16-01/6</w:t>
      </w:r>
      <w:bookmarkStart w:id="0" w:name="_GoBack"/>
      <w:bookmarkEnd w:id="0"/>
    </w:p>
    <w:p w:rsidR="009779ED" w:rsidRDefault="009779ED" w:rsidP="009779ED">
      <w:pPr>
        <w:spacing w:after="0"/>
      </w:pPr>
      <w:proofErr w:type="spellStart"/>
      <w:r>
        <w:t>Urbroj</w:t>
      </w:r>
      <w:proofErr w:type="spellEnd"/>
      <w:r>
        <w:t>:</w:t>
      </w:r>
      <w:r w:rsidR="00345C5F">
        <w:t xml:space="preserve"> 2198/01-28-16-1</w:t>
      </w:r>
    </w:p>
    <w:p w:rsidR="009779ED" w:rsidRDefault="009779ED" w:rsidP="009779ED">
      <w:r>
        <w:t>U Zadru, 19. veljače 2016.</w:t>
      </w:r>
    </w:p>
    <w:p w:rsidR="009779ED" w:rsidRDefault="009779ED" w:rsidP="009779ED"/>
    <w:p w:rsidR="009779ED" w:rsidRDefault="009779ED" w:rsidP="009779ED"/>
    <w:p w:rsidR="009779ED" w:rsidRDefault="009779ED" w:rsidP="009779ED">
      <w:pPr>
        <w:jc w:val="center"/>
      </w:pPr>
      <w:r>
        <w:t>Temeljem članka 76. Statuta OŠ Zadarski otoci, ravnatelj OŠ Zadarski otoci donosi</w:t>
      </w:r>
    </w:p>
    <w:p w:rsidR="009779ED" w:rsidRPr="009779ED" w:rsidRDefault="009779ED" w:rsidP="009779ED">
      <w:pPr>
        <w:jc w:val="center"/>
        <w:rPr>
          <w:b/>
        </w:rPr>
      </w:pPr>
      <w:r w:rsidRPr="009779ED">
        <w:rPr>
          <w:b/>
        </w:rPr>
        <w:t>Proceduru praćenja i naplate prihoda i primitaka</w:t>
      </w:r>
    </w:p>
    <w:p w:rsidR="009779ED" w:rsidRDefault="009779ED" w:rsidP="009779ED"/>
    <w:p w:rsidR="009779ED" w:rsidRDefault="009779ED" w:rsidP="009779ED">
      <w:pPr>
        <w:jc w:val="center"/>
      </w:pPr>
      <w:r>
        <w:t>Članak 1.</w:t>
      </w:r>
    </w:p>
    <w:p w:rsidR="009779ED" w:rsidRDefault="009779ED" w:rsidP="009779ED">
      <w:pPr>
        <w:ind w:firstLine="708"/>
      </w:pPr>
      <w:r>
        <w:t>Ovim se aktom utvrđuje obveza pojedinih službi OŠ</w:t>
      </w:r>
      <w:r w:rsidR="00B35B2C">
        <w:t xml:space="preserve"> Zadarski otoci</w:t>
      </w:r>
      <w:r>
        <w:t xml:space="preserve"> (u nastavku: Škola) te propisuje procedura, odnosno način i rokovi praćenja i naplate prihoda i primitaka Škole.</w:t>
      </w:r>
    </w:p>
    <w:p w:rsidR="009779ED" w:rsidRDefault="009779ED" w:rsidP="009779ED">
      <w:pPr>
        <w:ind w:firstLine="708"/>
      </w:pPr>
      <w:r>
        <w:t>Prihodi koje Škola naplaćuje su vlastiti prihodi od zakupa prostora.</w:t>
      </w:r>
    </w:p>
    <w:p w:rsidR="009779ED" w:rsidRDefault="009779ED" w:rsidP="009779ED">
      <w:pPr>
        <w:ind w:firstLine="708"/>
      </w:pPr>
      <w:r>
        <w:t>Ako škola ugovori zakup prostora vrijednosti većoj od 20.000,00 kn godišnje, s kupcem ugovara instrument osiguranja plaćanja.</w:t>
      </w:r>
    </w:p>
    <w:p w:rsidR="009779ED" w:rsidRDefault="009779ED" w:rsidP="009779ED">
      <w:pPr>
        <w:jc w:val="center"/>
      </w:pPr>
      <w:r>
        <w:t>Članak 2.</w:t>
      </w:r>
    </w:p>
    <w:p w:rsidR="00CA6262" w:rsidRDefault="009779ED" w:rsidP="009779ED">
      <w:r>
        <w:t>Procedura iz članka 1. izvodi se po sljedećem postupku, osim ako posebnim propisom nije drugačije određeno:</w:t>
      </w:r>
    </w:p>
    <w:p w:rsidR="009779ED" w:rsidRDefault="009779ED" w:rsidP="009779E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1"/>
        <w:gridCol w:w="2894"/>
        <w:gridCol w:w="1805"/>
        <w:gridCol w:w="1870"/>
        <w:gridCol w:w="1792"/>
      </w:tblGrid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Red. br.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AKTIVNOST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NADLEŽNOST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DOKUMENT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ROK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1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Dostava podataka Računovodstvu potrebnih za izdavanje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Tajništvo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Ugovor, narudžbenica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2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Izdavanje/izrada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3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Ovjera i potpis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2 dana od izrade računa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4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Slanje izlaznog računa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Tajništvo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Knjiga izlazne pošte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2 dana nakon ovjere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5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Unos podataka u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sustav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(knjiženje izlaznih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računa)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Knjiga Izlaznih računa, Glavna knjiga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Unutar mjeseca na koji se račun odnosi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Evidentiranje naplaćenih prihoda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Knjiga ulaznih računa, Glavna knjiga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Tjedno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Praćenje naplate prihoda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(analitika)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B35B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Izvadak po poslovnom </w:t>
            </w:r>
            <w:r w:rsidRPr="00B35B2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računu/Blagajnički izvještaj-uplatnice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Tjedno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B35B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Utvrđivanje stanja dospjelih i nenaplaćenih potraživanja/prihoda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Izvod otvorenih stavaka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Mjesečno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Upozoravanje i izdavanje opomena i opomena pred tužbu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Računovodstvo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Opomene i opomene pred tužbu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B35B2C" w:rsidP="009779ED">
            <w:r>
              <w:t>10.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Donošenje odluke o prisilnoj naplati potraživanja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Ravnatelj </w:t>
            </w:r>
          </w:p>
        </w:tc>
        <w:tc>
          <w:tcPr>
            <w:tcW w:w="1813" w:type="dxa"/>
          </w:tcPr>
          <w:p w:rsidR="009779ED" w:rsidRPr="00B35B2C" w:rsidRDefault="009779ED" w:rsidP="00B35B2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Odluka o prisilnoj naplati potraživanja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Tijekom godine </w:t>
            </w:r>
          </w:p>
        </w:tc>
      </w:tr>
      <w:tr w:rsidR="009779ED" w:rsidTr="009D3693">
        <w:tc>
          <w:tcPr>
            <w:tcW w:w="704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11</w:t>
            </w:r>
            <w:r w:rsidR="00B35B2C">
              <w:rPr>
                <w:rFonts w:asciiTheme="minorHAnsi" w:hAnsiTheme="minorHAnsi"/>
                <w:sz w:val="22"/>
                <w:szCs w:val="22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2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Ovrha-prisilna naplata potraživanja u skladu s Ovršnim zakonom </w:t>
            </w:r>
          </w:p>
        </w:tc>
        <w:tc>
          <w:tcPr>
            <w:tcW w:w="181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 xml:space="preserve">Tajništvo </w:t>
            </w:r>
          </w:p>
        </w:tc>
        <w:tc>
          <w:tcPr>
            <w:tcW w:w="181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B35B2C">
              <w:rPr>
                <w:rFonts w:asciiTheme="minorHAnsi" w:hAnsiTheme="minorHAnsi"/>
                <w:sz w:val="22"/>
                <w:szCs w:val="22"/>
              </w:rPr>
              <w:t>O</w:t>
            </w:r>
            <w:r w:rsidR="00B35B2C">
              <w:rPr>
                <w:rFonts w:asciiTheme="minorHAnsi" w:hAnsiTheme="minorHAnsi"/>
                <w:sz w:val="22"/>
                <w:szCs w:val="22"/>
              </w:rPr>
              <w:t>vršni postupak kod javnog bilje</w:t>
            </w:r>
            <w:r w:rsidRPr="00B35B2C">
              <w:rPr>
                <w:rFonts w:asciiTheme="minorHAnsi" w:hAnsiTheme="minorHAnsi"/>
                <w:sz w:val="22"/>
                <w:szCs w:val="22"/>
              </w:rPr>
              <w:t xml:space="preserve">žnika </w:t>
            </w:r>
          </w:p>
        </w:tc>
        <w:tc>
          <w:tcPr>
            <w:tcW w:w="1813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 dana nakon dono</w:t>
            </w:r>
            <w:r w:rsidR="009779ED" w:rsidRPr="00B35B2C">
              <w:rPr>
                <w:rFonts w:asciiTheme="minorHAnsi" w:hAnsiTheme="minorHAnsi"/>
                <w:sz w:val="22"/>
                <w:szCs w:val="22"/>
              </w:rPr>
              <w:t xml:space="preserve">šenja Odluke </w:t>
            </w:r>
          </w:p>
        </w:tc>
      </w:tr>
    </w:tbl>
    <w:p w:rsidR="009779ED" w:rsidRDefault="009779ED" w:rsidP="009779ED"/>
    <w:p w:rsidR="009779ED" w:rsidRPr="00B35B2C" w:rsidRDefault="009779ED" w:rsidP="009779ED">
      <w:pPr>
        <w:rPr>
          <w:sz w:val="28"/>
        </w:rPr>
      </w:pP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>Članak 3.</w:t>
      </w: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</w:p>
    <w:p w:rsidR="009779ED" w:rsidRPr="00B35B2C" w:rsidRDefault="009779ED" w:rsidP="00B35B2C">
      <w:pPr>
        <w:pStyle w:val="Default"/>
        <w:ind w:firstLine="708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Uvodi se redoviti sustav opominjanja po osnovi prihoda koje određeni dužnik ima prema Školi. Tijekom narednih 30 dana Računovodstvo nadzire naplatu prihoda po opomenama. </w:t>
      </w:r>
    </w:p>
    <w:p w:rsidR="009779ED" w:rsidRPr="00B35B2C" w:rsidRDefault="009779ED" w:rsidP="009779ED">
      <w:pPr>
        <w:pStyle w:val="Default"/>
        <w:rPr>
          <w:rFonts w:asciiTheme="minorHAnsi" w:hAnsiTheme="minorHAnsi"/>
          <w:sz w:val="22"/>
          <w:szCs w:val="18"/>
        </w:rPr>
      </w:pP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>Članak 4.</w:t>
      </w:r>
    </w:p>
    <w:p w:rsidR="009779ED" w:rsidRPr="00B35B2C" w:rsidRDefault="009779ED" w:rsidP="009779ED">
      <w:pPr>
        <w:pStyle w:val="Default"/>
        <w:ind w:firstLine="708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Nakon što u roku od 30 dana nije naplaćen dug za koji je poslana opomena, računovodstvo o tome obavještava ravnatelja koji donosi Odluku o prisilnoj naplati potraživanja te se pokreće ovršni postupak kod javnog bilježnika. </w:t>
      </w:r>
    </w:p>
    <w:p w:rsidR="009779ED" w:rsidRPr="00B35B2C" w:rsidRDefault="009779ED" w:rsidP="009779ED">
      <w:pPr>
        <w:ind w:firstLine="708"/>
        <w:rPr>
          <w:szCs w:val="18"/>
        </w:rPr>
      </w:pPr>
      <w:r w:rsidRPr="00B35B2C">
        <w:rPr>
          <w:szCs w:val="18"/>
        </w:rPr>
        <w:t>Ovršni postupak se pokreće za dugovanja u visini većoj od 500,00 kn po jednom dužniku.</w:t>
      </w:r>
    </w:p>
    <w:p w:rsidR="009779ED" w:rsidRPr="00B35B2C" w:rsidRDefault="009779ED" w:rsidP="009779ED">
      <w:pPr>
        <w:ind w:firstLine="708"/>
        <w:rPr>
          <w:szCs w:val="18"/>
        </w:rPr>
      </w:pPr>
    </w:p>
    <w:p w:rsidR="009779ED" w:rsidRPr="00B35B2C" w:rsidRDefault="009779ED" w:rsidP="009779ED">
      <w:pPr>
        <w:ind w:firstLine="708"/>
        <w:rPr>
          <w:szCs w:val="18"/>
        </w:rPr>
      </w:pPr>
      <w:r w:rsidRPr="00B35B2C">
        <w:rPr>
          <w:szCs w:val="18"/>
        </w:rPr>
        <w:t>Procedura iz stavka 1. izvodi se po sljedećem postupku: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2538"/>
        <w:gridCol w:w="2479"/>
        <w:gridCol w:w="1750"/>
        <w:gridCol w:w="1623"/>
      </w:tblGrid>
      <w:tr w:rsidR="009779ED" w:rsidTr="00B35B2C">
        <w:tc>
          <w:tcPr>
            <w:tcW w:w="672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Red. br. </w:t>
            </w:r>
          </w:p>
        </w:tc>
        <w:tc>
          <w:tcPr>
            <w:tcW w:w="2538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AKTIVNOST </w:t>
            </w:r>
          </w:p>
        </w:tc>
        <w:tc>
          <w:tcPr>
            <w:tcW w:w="2479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NADLEŽNOST </w:t>
            </w:r>
          </w:p>
        </w:tc>
        <w:tc>
          <w:tcPr>
            <w:tcW w:w="1750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DOKUMENT </w:t>
            </w:r>
          </w:p>
        </w:tc>
        <w:tc>
          <w:tcPr>
            <w:tcW w:w="1623" w:type="dxa"/>
            <w:shd w:val="clear" w:color="auto" w:fill="D0CECE" w:themeFill="background2" w:themeFillShade="E6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ROK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1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Knjigovodstvene kartice </w:t>
            </w:r>
          </w:p>
        </w:tc>
        <w:tc>
          <w:tcPr>
            <w:tcW w:w="1623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Prije zastare potraži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vanja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2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Prikupljanje dokumentacije za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ovršni postupak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Knjigovodstvena kartica ili računi/ obračun kama-ta/opomena s povratnicom </w:t>
            </w:r>
          </w:p>
        </w:tc>
        <w:tc>
          <w:tcPr>
            <w:tcW w:w="1623" w:type="dxa"/>
          </w:tcPr>
          <w:p w:rsidR="009779ED" w:rsidRPr="00B35B2C" w:rsidRDefault="00B35B2C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>Prije zastare potraži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vanja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3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Izrada prijedloga za ovrhu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Računovodstvo/Tajništvo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Nacrt prijedloga za ovrhu Općinskom sudu ili javnom bilježniku </w:t>
            </w:r>
          </w:p>
        </w:tc>
        <w:tc>
          <w:tcPr>
            <w:tcW w:w="162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Najkasnije dva (2) dana od pokretanja postupka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4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Ovjera i potpis </w:t>
            </w:r>
          </w:p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prijedloga za ovrhu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Ravnatelj </w:t>
            </w:r>
          </w:p>
        </w:tc>
        <w:tc>
          <w:tcPr>
            <w:tcW w:w="1750" w:type="dxa"/>
          </w:tcPr>
          <w:p w:rsidR="009779ED" w:rsidRPr="00B35B2C" w:rsidRDefault="00B35B2C" w:rsidP="00B35B2C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>
              <w:rPr>
                <w:rFonts w:asciiTheme="minorHAnsi" w:hAnsiTheme="minorHAnsi"/>
                <w:sz w:val="22"/>
                <w:szCs w:val="16"/>
              </w:rPr>
              <w:t xml:space="preserve">Prijedlog za ovrhu </w:t>
            </w:r>
            <w:r>
              <w:rPr>
                <w:rFonts w:asciiTheme="minorHAnsi" w:hAnsiTheme="minorHAnsi"/>
                <w:sz w:val="22"/>
                <w:szCs w:val="16"/>
              </w:rPr>
              <w:lastRenderedPageBreak/>
              <w:t>Općin</w:t>
            </w:r>
            <w:r w:rsidR="009779ED" w:rsidRPr="00B35B2C">
              <w:rPr>
                <w:rFonts w:asciiTheme="minorHAnsi" w:hAnsiTheme="minorHAnsi"/>
                <w:sz w:val="22"/>
                <w:szCs w:val="16"/>
              </w:rPr>
              <w:t xml:space="preserve">skom sudu ili javnom bilježniku </w:t>
            </w:r>
          </w:p>
        </w:tc>
        <w:tc>
          <w:tcPr>
            <w:tcW w:w="1623" w:type="dxa"/>
          </w:tcPr>
          <w:p w:rsidR="009779ED" w:rsidRPr="00B35B2C" w:rsidRDefault="009779ED" w:rsidP="009779ED"/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5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Do</w:t>
            </w:r>
            <w:r w:rsidR="00B35B2C">
              <w:rPr>
                <w:rFonts w:asciiTheme="minorHAnsi" w:hAnsiTheme="minorHAnsi"/>
                <w:sz w:val="22"/>
                <w:szCs w:val="16"/>
              </w:rPr>
              <w:t>stava prijedloga za ovrhu Općin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skom sudu ili javnom bilježniku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Tajništvo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Knjiga izlazne pošte </w:t>
            </w:r>
          </w:p>
        </w:tc>
        <w:tc>
          <w:tcPr>
            <w:tcW w:w="162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Najkasnije dva (2) dana od izrade prijedloga </w:t>
            </w:r>
          </w:p>
        </w:tc>
      </w:tr>
      <w:tr w:rsidR="009779ED" w:rsidTr="00B35B2C">
        <w:tc>
          <w:tcPr>
            <w:tcW w:w="672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6</w:t>
            </w:r>
            <w:r w:rsidR="00B35B2C">
              <w:rPr>
                <w:rFonts w:asciiTheme="minorHAnsi" w:hAnsiTheme="minorHAnsi"/>
                <w:sz w:val="22"/>
                <w:szCs w:val="16"/>
              </w:rPr>
              <w:t>.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 </w:t>
            </w:r>
          </w:p>
        </w:tc>
        <w:tc>
          <w:tcPr>
            <w:tcW w:w="2538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Dostava pravomoćnih rješenja o ovrsi FINI </w:t>
            </w:r>
          </w:p>
        </w:tc>
        <w:tc>
          <w:tcPr>
            <w:tcW w:w="2479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Računovodstvo </w:t>
            </w:r>
          </w:p>
        </w:tc>
        <w:tc>
          <w:tcPr>
            <w:tcW w:w="1750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 xml:space="preserve">Pravomoćno rješenje </w:t>
            </w:r>
          </w:p>
        </w:tc>
        <w:tc>
          <w:tcPr>
            <w:tcW w:w="1623" w:type="dxa"/>
          </w:tcPr>
          <w:p w:rsidR="009779ED" w:rsidRPr="00B35B2C" w:rsidRDefault="009779ED" w:rsidP="009779ED">
            <w:pPr>
              <w:pStyle w:val="Default"/>
              <w:rPr>
                <w:rFonts w:asciiTheme="minorHAnsi" w:hAnsiTheme="minorHAnsi"/>
                <w:sz w:val="22"/>
                <w:szCs w:val="16"/>
              </w:rPr>
            </w:pPr>
            <w:r w:rsidRPr="00B35B2C">
              <w:rPr>
                <w:rFonts w:asciiTheme="minorHAnsi" w:hAnsiTheme="minorHAnsi"/>
                <w:sz w:val="22"/>
                <w:szCs w:val="16"/>
              </w:rPr>
              <w:t>Najkasnije dva (2) dan</w:t>
            </w:r>
            <w:r w:rsidR="00B35B2C">
              <w:rPr>
                <w:rFonts w:asciiTheme="minorHAnsi" w:hAnsiTheme="minorHAnsi"/>
                <w:sz w:val="22"/>
                <w:szCs w:val="16"/>
              </w:rPr>
              <w:t>a od primitka pravomoćnih rješe</w:t>
            </w:r>
            <w:r w:rsidRPr="00B35B2C">
              <w:rPr>
                <w:rFonts w:asciiTheme="minorHAnsi" w:hAnsiTheme="minorHAnsi"/>
                <w:sz w:val="22"/>
                <w:szCs w:val="16"/>
              </w:rPr>
              <w:t xml:space="preserve">nja </w:t>
            </w:r>
          </w:p>
        </w:tc>
      </w:tr>
    </w:tbl>
    <w:p w:rsidR="009779ED" w:rsidRDefault="009779ED" w:rsidP="009779ED"/>
    <w:p w:rsidR="00B35B2C" w:rsidRDefault="00B35B2C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</w:p>
    <w:p w:rsidR="009779ED" w:rsidRPr="00B35B2C" w:rsidRDefault="009779ED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>Članak 5.</w:t>
      </w:r>
    </w:p>
    <w:p w:rsidR="009779ED" w:rsidRPr="00B35B2C" w:rsidRDefault="00825BF8" w:rsidP="009779ED">
      <w:pPr>
        <w:pStyle w:val="Default"/>
        <w:jc w:val="center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  </w:t>
      </w:r>
    </w:p>
    <w:p w:rsidR="009779ED" w:rsidRPr="00B35B2C" w:rsidRDefault="009779ED" w:rsidP="009779ED">
      <w:pPr>
        <w:pStyle w:val="Default"/>
        <w:rPr>
          <w:rFonts w:asciiTheme="minorHAnsi" w:hAnsiTheme="minorHAnsi"/>
          <w:sz w:val="22"/>
          <w:szCs w:val="18"/>
        </w:rPr>
      </w:pPr>
      <w:r w:rsidRPr="00B35B2C">
        <w:rPr>
          <w:rFonts w:asciiTheme="minorHAnsi" w:hAnsiTheme="minorHAnsi"/>
          <w:sz w:val="22"/>
          <w:szCs w:val="18"/>
        </w:rPr>
        <w:t xml:space="preserve">Ova Procedura stupa na snagu danom donošenja i objavit će se na mrežnim stranicama Škole. </w:t>
      </w:r>
    </w:p>
    <w:p w:rsidR="009779ED" w:rsidRPr="00B35B2C" w:rsidRDefault="009779ED" w:rsidP="009779ED">
      <w:pPr>
        <w:jc w:val="right"/>
        <w:rPr>
          <w:szCs w:val="18"/>
        </w:rPr>
      </w:pPr>
    </w:p>
    <w:p w:rsidR="009779ED" w:rsidRPr="00B35B2C" w:rsidRDefault="009779ED" w:rsidP="009779ED">
      <w:pPr>
        <w:jc w:val="right"/>
        <w:rPr>
          <w:szCs w:val="18"/>
        </w:rPr>
      </w:pPr>
    </w:p>
    <w:p w:rsidR="009779ED" w:rsidRPr="00B35B2C" w:rsidRDefault="009779ED" w:rsidP="009779ED">
      <w:pPr>
        <w:jc w:val="right"/>
        <w:rPr>
          <w:szCs w:val="18"/>
        </w:rPr>
      </w:pPr>
    </w:p>
    <w:p w:rsidR="009779ED" w:rsidRDefault="00B35B2C" w:rsidP="00B35B2C">
      <w:pPr>
        <w:jc w:val="center"/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</w:t>
      </w:r>
      <w:r w:rsidR="009779ED" w:rsidRPr="00B35B2C">
        <w:rPr>
          <w:szCs w:val="18"/>
        </w:rPr>
        <w:t>Ravnatelj:</w:t>
      </w:r>
    </w:p>
    <w:p w:rsidR="00B35B2C" w:rsidRDefault="00B35B2C" w:rsidP="00B35B2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_______________</w:t>
      </w:r>
    </w:p>
    <w:p w:rsidR="00B35B2C" w:rsidRPr="00B35B2C" w:rsidRDefault="00B35B2C" w:rsidP="00B35B2C">
      <w:pPr>
        <w:jc w:val="center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Davor Barić, </w:t>
      </w:r>
      <w:proofErr w:type="spellStart"/>
      <w:r>
        <w:rPr>
          <w:sz w:val="20"/>
          <w:szCs w:val="20"/>
        </w:rPr>
        <w:t>dipl.ing</w:t>
      </w:r>
      <w:proofErr w:type="spellEnd"/>
      <w:r>
        <w:rPr>
          <w:sz w:val="20"/>
          <w:szCs w:val="20"/>
        </w:rPr>
        <w:t>.</w:t>
      </w:r>
    </w:p>
    <w:p w:rsidR="00B35B2C" w:rsidRPr="00B35B2C" w:rsidRDefault="00B35B2C" w:rsidP="009779ED">
      <w:pPr>
        <w:jc w:val="right"/>
        <w:rPr>
          <w:sz w:val="28"/>
        </w:rPr>
      </w:pPr>
    </w:p>
    <w:sectPr w:rsidR="00B35B2C" w:rsidRPr="00B3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ED"/>
    <w:rsid w:val="00345C5F"/>
    <w:rsid w:val="00432E06"/>
    <w:rsid w:val="00825BF8"/>
    <w:rsid w:val="0095357F"/>
    <w:rsid w:val="009779ED"/>
    <w:rsid w:val="009D3693"/>
    <w:rsid w:val="00B35B2C"/>
    <w:rsid w:val="00CA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1255F"/>
  <w15:chartTrackingRefBased/>
  <w15:docId w15:val="{6135410A-BD8E-4F6A-87DF-7FF735A9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Zadarski otoci</dc:creator>
  <cp:keywords/>
  <dc:description/>
  <cp:lastModifiedBy>Zadarski otoci</cp:lastModifiedBy>
  <cp:revision>5</cp:revision>
  <cp:lastPrinted>2016-02-22T10:33:00Z</cp:lastPrinted>
  <dcterms:created xsi:type="dcterms:W3CDTF">2016-02-19T09:24:00Z</dcterms:created>
  <dcterms:modified xsi:type="dcterms:W3CDTF">2016-03-16T08:32:00Z</dcterms:modified>
</cp:coreProperties>
</file>